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9F49E4" w14:textId="5BE0A089" w:rsidR="00961FF6" w:rsidRDefault="00961FF6" w:rsidP="00961FF6">
      <w:pPr>
        <w:pStyle w:val="NormaleWeb"/>
        <w:shd w:val="clear" w:color="auto" w:fill="FFFFFF"/>
        <w:spacing w:before="0" w:after="0" w:afterAutospacing="0"/>
        <w:jc w:val="both"/>
        <w:rPr>
          <w:rFonts w:ascii="Segoe UI" w:hAnsi="Segoe UI" w:cs="Segoe UI"/>
          <w:color w:val="000000"/>
          <w:sz w:val="23"/>
          <w:szCs w:val="23"/>
          <w:bdr w:val="none" w:sz="0" w:space="0" w:color="auto" w:frame="1"/>
        </w:rPr>
      </w:pPr>
      <w:r>
        <w:rPr>
          <w:rFonts w:ascii="Segoe UI" w:hAnsi="Segoe UI" w:cs="Segoe UI"/>
          <w:color w:val="000000"/>
          <w:sz w:val="23"/>
          <w:szCs w:val="23"/>
          <w:bdr w:val="none" w:sz="0" w:space="0" w:color="auto" w:frame="1"/>
        </w:rPr>
        <w:t>Alla C.A. gent. Clienti,</w:t>
      </w:r>
    </w:p>
    <w:p w14:paraId="537B8C66" w14:textId="77777777" w:rsidR="00A95048" w:rsidRDefault="00A95048" w:rsidP="00961FF6">
      <w:pPr>
        <w:pStyle w:val="NormaleWeb"/>
        <w:shd w:val="clear" w:color="auto" w:fill="FFFFFF"/>
        <w:spacing w:before="0" w:after="0" w:afterAutospacing="0"/>
        <w:jc w:val="both"/>
        <w:rPr>
          <w:rFonts w:ascii="Segoe UI" w:hAnsi="Segoe UI" w:cs="Segoe UI"/>
          <w:color w:val="201F1E"/>
          <w:sz w:val="23"/>
          <w:szCs w:val="23"/>
        </w:rPr>
      </w:pPr>
    </w:p>
    <w:p w14:paraId="07E28A92" w14:textId="77777777" w:rsidR="00961FF6" w:rsidRDefault="00961FF6" w:rsidP="00961FF6">
      <w:pPr>
        <w:pStyle w:val="NormaleWeb"/>
        <w:shd w:val="clear" w:color="auto" w:fill="FFFFFF"/>
        <w:spacing w:before="0" w:after="0" w:afterAutospacing="0"/>
        <w:jc w:val="both"/>
        <w:rPr>
          <w:rFonts w:ascii="Segoe UI" w:hAnsi="Segoe UI" w:cs="Segoe UI"/>
          <w:color w:val="201F1E"/>
          <w:sz w:val="23"/>
          <w:szCs w:val="23"/>
        </w:rPr>
      </w:pPr>
      <w:r>
        <w:rPr>
          <w:rFonts w:ascii="Segoe UI" w:hAnsi="Segoe UI" w:cs="Segoe UI"/>
          <w:color w:val="000000"/>
          <w:sz w:val="23"/>
          <w:szCs w:val="23"/>
          <w:bdr w:val="none" w:sz="0" w:space="0" w:color="auto" w:frame="1"/>
        </w:rPr>
        <w:t>Con il comunicato stampa n.</w:t>
      </w:r>
      <w:hyperlink r:id="rId8" w:tgtFrame="_blank" w:history="1">
        <w:r>
          <w:rPr>
            <w:rStyle w:val="Collegamentoipertestuale"/>
            <w:rFonts w:ascii="Segoe UI" w:hAnsi="Segoe UI" w:cs="Segoe UI"/>
            <w:color w:val="000000"/>
            <w:sz w:val="23"/>
            <w:szCs w:val="23"/>
            <w:bdr w:val="none" w:sz="0" w:space="0" w:color="auto" w:frame="1"/>
          </w:rPr>
          <w:t>133</w:t>
        </w:r>
      </w:hyperlink>
      <w:r>
        <w:rPr>
          <w:rFonts w:ascii="Segoe UI" w:hAnsi="Segoe UI" w:cs="Segoe UI"/>
          <w:color w:val="000000"/>
          <w:sz w:val="23"/>
          <w:szCs w:val="23"/>
          <w:bdr w:val="none" w:sz="0" w:space="0" w:color="auto" w:frame="1"/>
        </w:rPr>
        <w:t> pubblicato il 28/06/2021, il MEF con DPCM </w:t>
      </w:r>
      <w:r>
        <w:rPr>
          <w:rFonts w:ascii="Segoe UI" w:hAnsi="Segoe UI" w:cs="Segoe UI"/>
          <w:b/>
          <w:bCs/>
          <w:color w:val="000000"/>
          <w:sz w:val="23"/>
          <w:szCs w:val="23"/>
          <w:bdr w:val="none" w:sz="0" w:space="0" w:color="auto" w:frame="1"/>
        </w:rPr>
        <w:t>proroga </w:t>
      </w:r>
      <w:r>
        <w:rPr>
          <w:rFonts w:ascii="Segoe UI" w:hAnsi="Segoe UI" w:cs="Segoe UI"/>
          <w:color w:val="000000"/>
          <w:sz w:val="23"/>
          <w:szCs w:val="23"/>
          <w:bdr w:val="none" w:sz="0" w:space="0" w:color="auto" w:frame="1"/>
        </w:rPr>
        <w:t>dal 30 giugno al 20 luglio il termine di versamento del saldo 2020 e del primo acconto 2021 ai fini delle imposte sui redditi e dell’IVA per i contribuenti interessati dall’applicazione degli ISA, compresi soggetti regime forfettario.  Si tratta quindi della proroga disposta in base all’</w:t>
      </w:r>
      <w:hyperlink r:id="rId9" w:anchor="Comma5" w:tgtFrame="_blank" w:history="1">
        <w:r>
          <w:rPr>
            <w:rStyle w:val="Collegamentoipertestuale"/>
            <w:rFonts w:ascii="Segoe UI" w:hAnsi="Segoe UI" w:cs="Segoe UI"/>
            <w:color w:val="000000"/>
            <w:sz w:val="23"/>
            <w:szCs w:val="23"/>
            <w:bdr w:val="none" w:sz="0" w:space="0" w:color="auto" w:frame="1"/>
          </w:rPr>
          <w:t>art. 12</w:t>
        </w:r>
      </w:hyperlink>
      <w:r>
        <w:rPr>
          <w:rFonts w:ascii="Segoe UI" w:hAnsi="Segoe UI" w:cs="Segoe UI"/>
          <w:color w:val="000000"/>
          <w:sz w:val="23"/>
          <w:szCs w:val="23"/>
          <w:bdr w:val="none" w:sz="0" w:space="0" w:color="auto" w:frame="1"/>
        </w:rPr>
        <w:t xml:space="preserve"> comma 5 del </w:t>
      </w:r>
      <w:proofErr w:type="spellStart"/>
      <w:r>
        <w:rPr>
          <w:rFonts w:ascii="Segoe UI" w:hAnsi="Segoe UI" w:cs="Segoe UI"/>
          <w:color w:val="000000"/>
          <w:sz w:val="23"/>
          <w:szCs w:val="23"/>
          <w:bdr w:val="none" w:sz="0" w:space="0" w:color="auto" w:frame="1"/>
        </w:rPr>
        <w:t>DLgs</w:t>
      </w:r>
      <w:proofErr w:type="spellEnd"/>
      <w:r>
        <w:rPr>
          <w:rFonts w:ascii="Segoe UI" w:hAnsi="Segoe UI" w:cs="Segoe UI"/>
          <w:color w:val="000000"/>
          <w:sz w:val="23"/>
          <w:szCs w:val="23"/>
          <w:bdr w:val="none" w:sz="0" w:space="0" w:color="auto" w:frame="1"/>
        </w:rPr>
        <w:t>. 241/1997, che consente di modificare mediante </w:t>
      </w:r>
      <w:r>
        <w:rPr>
          <w:rFonts w:ascii="Segoe UI" w:hAnsi="Segoe UI" w:cs="Segoe UI"/>
          <w:b/>
          <w:bCs/>
          <w:color w:val="000000"/>
          <w:sz w:val="23"/>
          <w:szCs w:val="23"/>
          <w:bdr w:val="none" w:sz="0" w:space="0" w:color="auto" w:frame="1"/>
        </w:rPr>
        <w:t>DPCM </w:t>
      </w:r>
      <w:r>
        <w:rPr>
          <w:rFonts w:ascii="Segoe UI" w:hAnsi="Segoe UI" w:cs="Segoe UI"/>
          <w:color w:val="000000"/>
          <w:sz w:val="23"/>
          <w:szCs w:val="23"/>
          <w:bdr w:val="none" w:sz="0" w:space="0" w:color="auto" w:frame="1"/>
        </w:rPr>
        <w:t>i termini di versamento relativi a imposte e contributi e di evitare la maggiorazione dello 0,4% in caso di differimento per un periodo non superiore ai primi 20 giorni.</w:t>
      </w:r>
    </w:p>
    <w:p w14:paraId="18EAB53E" w14:textId="77777777" w:rsidR="00961FF6" w:rsidRDefault="00961FF6" w:rsidP="00961FF6">
      <w:pPr>
        <w:pStyle w:val="NormaleWeb"/>
        <w:shd w:val="clear" w:color="auto" w:fill="FFFFFF"/>
        <w:spacing w:before="0" w:beforeAutospacing="0" w:after="0"/>
        <w:jc w:val="both"/>
        <w:rPr>
          <w:rFonts w:ascii="Segoe UI" w:hAnsi="Segoe UI" w:cs="Segoe UI"/>
          <w:color w:val="201F1E"/>
          <w:sz w:val="23"/>
          <w:szCs w:val="23"/>
        </w:rPr>
      </w:pPr>
      <w:r>
        <w:rPr>
          <w:rFonts w:ascii="Segoe UI" w:hAnsi="Segoe UI" w:cs="Segoe UI"/>
          <w:color w:val="000000"/>
          <w:sz w:val="23"/>
          <w:szCs w:val="23"/>
          <w:bdr w:val="none" w:sz="0" w:space="0" w:color="auto" w:frame="1"/>
        </w:rPr>
        <w:t>Per quanto riguarda i contribuenti interessati </w:t>
      </w:r>
      <w:r>
        <w:rPr>
          <w:rFonts w:ascii="Segoe UI" w:hAnsi="Segoe UI" w:cs="Segoe UI"/>
          <w:b/>
          <w:bCs/>
          <w:color w:val="000000"/>
          <w:sz w:val="23"/>
          <w:szCs w:val="23"/>
          <w:bdr w:val="none" w:sz="0" w:space="0" w:color="auto" w:frame="1"/>
        </w:rPr>
        <w:t>la proroga si applica ai soggetti che rispettano entrambe le seguenti</w:t>
      </w:r>
      <w:r>
        <w:rPr>
          <w:rFonts w:ascii="Segoe UI" w:hAnsi="Segoe UI" w:cs="Segoe UI"/>
          <w:color w:val="000000"/>
          <w:sz w:val="23"/>
          <w:szCs w:val="23"/>
          <w:bdr w:val="none" w:sz="0" w:space="0" w:color="auto" w:frame="1"/>
        </w:rPr>
        <w:t> </w:t>
      </w:r>
      <w:r>
        <w:rPr>
          <w:rFonts w:ascii="Segoe UI" w:hAnsi="Segoe UI" w:cs="Segoe UI"/>
          <w:b/>
          <w:bCs/>
          <w:color w:val="000000"/>
          <w:sz w:val="23"/>
          <w:szCs w:val="23"/>
          <w:bdr w:val="none" w:sz="0" w:space="0" w:color="auto" w:frame="1"/>
        </w:rPr>
        <w:t>condizioni</w:t>
      </w:r>
      <w:r>
        <w:rPr>
          <w:rFonts w:ascii="Segoe UI" w:hAnsi="Segoe UI" w:cs="Segoe UI"/>
          <w:color w:val="000000"/>
          <w:sz w:val="23"/>
          <w:szCs w:val="23"/>
          <w:bdr w:val="none" w:sz="0" w:space="0" w:color="auto" w:frame="1"/>
        </w:rPr>
        <w:t>:</w:t>
      </w:r>
    </w:p>
    <w:p w14:paraId="7F37D9D2" w14:textId="77777777" w:rsidR="00961FF6" w:rsidRDefault="00961FF6" w:rsidP="00961FF6">
      <w:pPr>
        <w:pStyle w:val="NormaleWeb"/>
        <w:shd w:val="clear" w:color="auto" w:fill="FFFFFF"/>
        <w:spacing w:before="0" w:beforeAutospacing="0" w:after="0"/>
        <w:jc w:val="both"/>
        <w:rPr>
          <w:rFonts w:ascii="Segoe UI" w:hAnsi="Segoe UI" w:cs="Segoe UI"/>
          <w:color w:val="201F1E"/>
          <w:sz w:val="23"/>
          <w:szCs w:val="23"/>
        </w:rPr>
      </w:pPr>
      <w:r>
        <w:rPr>
          <w:rFonts w:ascii="Segoe UI" w:hAnsi="Segoe UI" w:cs="Segoe UI"/>
          <w:color w:val="000000"/>
          <w:sz w:val="23"/>
          <w:szCs w:val="23"/>
          <w:bdr w:val="none" w:sz="0" w:space="0" w:color="auto" w:frame="1"/>
        </w:rPr>
        <w:t>- esercitano attività economiche per le quali sono stati approvati gli indici sintetici di affidabilità fiscale (ISA), di cui all’</w:t>
      </w:r>
      <w:hyperlink r:id="rId10" w:tgtFrame="_blank" w:history="1">
        <w:r>
          <w:rPr>
            <w:rStyle w:val="Collegamentoipertestuale"/>
            <w:rFonts w:ascii="Segoe UI" w:hAnsi="Segoe UI" w:cs="Segoe UI"/>
            <w:color w:val="000000"/>
            <w:sz w:val="23"/>
            <w:szCs w:val="23"/>
            <w:bdr w:val="none" w:sz="0" w:space="0" w:color="auto" w:frame="1"/>
          </w:rPr>
          <w:t>art. 9-</w:t>
        </w:r>
        <w:r>
          <w:rPr>
            <w:rStyle w:val="Collegamentoipertestuale"/>
            <w:rFonts w:ascii="Segoe UI" w:hAnsi="Segoe UI" w:cs="Segoe UI"/>
            <w:i/>
            <w:iCs/>
            <w:color w:val="000000"/>
            <w:sz w:val="23"/>
            <w:szCs w:val="23"/>
            <w:bdr w:val="none" w:sz="0" w:space="0" w:color="auto" w:frame="1"/>
          </w:rPr>
          <w:t>bis</w:t>
        </w:r>
      </w:hyperlink>
      <w:r>
        <w:rPr>
          <w:rFonts w:ascii="Segoe UI" w:hAnsi="Segoe UI" w:cs="Segoe UI"/>
          <w:color w:val="000000"/>
          <w:sz w:val="23"/>
          <w:szCs w:val="23"/>
          <w:bdr w:val="none" w:sz="0" w:space="0" w:color="auto" w:frame="1"/>
        </w:rPr>
        <w:t> del DL 50/2017;</w:t>
      </w:r>
    </w:p>
    <w:p w14:paraId="1CAC4660" w14:textId="77777777" w:rsidR="00961FF6" w:rsidRDefault="00961FF6" w:rsidP="00961FF6">
      <w:pPr>
        <w:pStyle w:val="NormaleWeb"/>
        <w:shd w:val="clear" w:color="auto" w:fill="FFFFFF"/>
        <w:spacing w:before="0" w:beforeAutospacing="0" w:after="0"/>
        <w:jc w:val="both"/>
        <w:rPr>
          <w:rFonts w:ascii="Segoe UI" w:hAnsi="Segoe UI" w:cs="Segoe UI"/>
          <w:color w:val="201F1E"/>
          <w:sz w:val="23"/>
          <w:szCs w:val="23"/>
        </w:rPr>
      </w:pPr>
      <w:r>
        <w:rPr>
          <w:rFonts w:ascii="Segoe UI" w:hAnsi="Segoe UI" w:cs="Segoe UI"/>
          <w:color w:val="000000"/>
          <w:sz w:val="23"/>
          <w:szCs w:val="23"/>
          <w:bdr w:val="none" w:sz="0" w:space="0" w:color="auto" w:frame="1"/>
        </w:rPr>
        <w:t>- dichiarano ricavi o compensi di ammontare non superiore al limite stabilito, per ciascun indice, dal relativo decreto di approvazione del Ministro dell’Economia e delle finanze (pari a 5.164.569 euro).</w:t>
      </w:r>
    </w:p>
    <w:p w14:paraId="181498BC" w14:textId="77777777" w:rsidR="00961FF6" w:rsidRDefault="00961FF6" w:rsidP="00961FF6">
      <w:pPr>
        <w:pStyle w:val="NormaleWeb"/>
        <w:shd w:val="clear" w:color="auto" w:fill="FFFFFF"/>
        <w:spacing w:before="0" w:beforeAutospacing="0" w:after="0"/>
        <w:rPr>
          <w:rFonts w:ascii="Segoe UI" w:hAnsi="Segoe UI" w:cs="Segoe UI"/>
          <w:color w:val="201F1E"/>
          <w:sz w:val="23"/>
          <w:szCs w:val="23"/>
        </w:rPr>
      </w:pPr>
      <w:r>
        <w:rPr>
          <w:rFonts w:ascii="Segoe UI" w:hAnsi="Segoe UI" w:cs="Segoe UI"/>
          <w:color w:val="000000"/>
          <w:sz w:val="23"/>
          <w:szCs w:val="23"/>
          <w:u w:val="single"/>
          <w:bdr w:val="none" w:sz="0" w:space="0" w:color="auto" w:frame="1"/>
        </w:rPr>
        <w:t>In attesa di maggiori chiarimenti, si evidenzia che ad oggi ancora nulla è stato precisato se la proroga sia applicabile anche ai soggetti che</w:t>
      </w:r>
      <w:r>
        <w:rPr>
          <w:rFonts w:ascii="Segoe UI" w:hAnsi="Segoe UI" w:cs="Segoe UI"/>
          <w:color w:val="000000"/>
          <w:sz w:val="23"/>
          <w:szCs w:val="23"/>
          <w:bdr w:val="none" w:sz="0" w:space="0" w:color="auto" w:frame="1"/>
        </w:rPr>
        <w:t>:</w:t>
      </w:r>
    </w:p>
    <w:p w14:paraId="69341F30" w14:textId="77777777" w:rsidR="00961FF6" w:rsidRDefault="00961FF6" w:rsidP="00961FF6">
      <w:pPr>
        <w:pStyle w:val="NormaleWeb"/>
        <w:shd w:val="clear" w:color="auto" w:fill="FFFFFF"/>
        <w:spacing w:before="0" w:beforeAutospacing="0" w:after="0"/>
        <w:jc w:val="both"/>
        <w:rPr>
          <w:rFonts w:ascii="Segoe UI" w:hAnsi="Segoe UI" w:cs="Segoe UI"/>
          <w:color w:val="201F1E"/>
          <w:sz w:val="23"/>
          <w:szCs w:val="23"/>
        </w:rPr>
      </w:pPr>
      <w:r>
        <w:rPr>
          <w:rFonts w:ascii="Segoe UI" w:hAnsi="Segoe UI" w:cs="Segoe UI"/>
          <w:color w:val="000000"/>
          <w:sz w:val="23"/>
          <w:szCs w:val="23"/>
          <w:bdr w:val="none" w:sz="0" w:space="0" w:color="auto" w:frame="1"/>
        </w:rPr>
        <w:t>- </w:t>
      </w:r>
      <w:r>
        <w:rPr>
          <w:rFonts w:ascii="Segoe UI" w:hAnsi="Segoe UI" w:cs="Segoe UI"/>
          <w:b/>
          <w:bCs/>
          <w:color w:val="000000"/>
          <w:sz w:val="23"/>
          <w:szCs w:val="23"/>
          <w:bdr w:val="none" w:sz="0" w:space="0" w:color="auto" w:frame="1"/>
        </w:rPr>
        <w:t>partecipano </w:t>
      </w:r>
      <w:r>
        <w:rPr>
          <w:rFonts w:ascii="Segoe UI" w:hAnsi="Segoe UI" w:cs="Segoe UI"/>
          <w:color w:val="000000"/>
          <w:sz w:val="23"/>
          <w:szCs w:val="23"/>
          <w:bdr w:val="none" w:sz="0" w:space="0" w:color="auto" w:frame="1"/>
        </w:rPr>
        <w:t>a società, associazioni e imprese che presentano i suddetti requisiti;</w:t>
      </w:r>
    </w:p>
    <w:p w14:paraId="0F9D6BCD" w14:textId="77777777" w:rsidR="00961FF6" w:rsidRDefault="00961FF6" w:rsidP="00961FF6">
      <w:pPr>
        <w:pStyle w:val="NormaleWeb"/>
        <w:shd w:val="clear" w:color="auto" w:fill="FFFFFF"/>
        <w:spacing w:before="0" w:beforeAutospacing="0" w:after="0"/>
        <w:jc w:val="both"/>
        <w:rPr>
          <w:rFonts w:ascii="Segoe UI" w:hAnsi="Segoe UI" w:cs="Segoe UI"/>
          <w:color w:val="201F1E"/>
          <w:sz w:val="23"/>
          <w:szCs w:val="23"/>
        </w:rPr>
      </w:pPr>
      <w:r>
        <w:rPr>
          <w:rFonts w:ascii="Segoe UI" w:hAnsi="Segoe UI" w:cs="Segoe UI"/>
          <w:color w:val="000000"/>
          <w:sz w:val="23"/>
          <w:szCs w:val="23"/>
          <w:bdr w:val="none" w:sz="0" w:space="0" w:color="auto" w:frame="1"/>
        </w:rPr>
        <w:t>- devono dichiarare redditi “per trasparenza”, ai sensi degli </w:t>
      </w:r>
      <w:hyperlink r:id="rId11" w:tgtFrame="_blank" w:history="1">
        <w:r>
          <w:rPr>
            <w:rStyle w:val="Collegamentoipertestuale"/>
            <w:rFonts w:ascii="Segoe UI" w:hAnsi="Segoe UI" w:cs="Segoe UI"/>
            <w:color w:val="000000"/>
            <w:sz w:val="23"/>
            <w:szCs w:val="23"/>
            <w:bdr w:val="none" w:sz="0" w:space="0" w:color="auto" w:frame="1"/>
          </w:rPr>
          <w:t>artt. 5</w:t>
        </w:r>
      </w:hyperlink>
      <w:r>
        <w:rPr>
          <w:rFonts w:ascii="Segoe UI" w:hAnsi="Segoe UI" w:cs="Segoe UI"/>
          <w:color w:val="000000"/>
          <w:sz w:val="23"/>
          <w:szCs w:val="23"/>
          <w:bdr w:val="none" w:sz="0" w:space="0" w:color="auto" w:frame="1"/>
        </w:rPr>
        <w:t>, </w:t>
      </w:r>
      <w:hyperlink r:id="rId12" w:tgtFrame="_blank" w:history="1">
        <w:r>
          <w:rPr>
            <w:rStyle w:val="Collegamentoipertestuale"/>
            <w:rFonts w:ascii="Segoe UI" w:hAnsi="Segoe UI" w:cs="Segoe UI"/>
            <w:color w:val="000000"/>
            <w:sz w:val="23"/>
            <w:szCs w:val="23"/>
            <w:bdr w:val="none" w:sz="0" w:space="0" w:color="auto" w:frame="1"/>
          </w:rPr>
          <w:t>115</w:t>
        </w:r>
      </w:hyperlink>
      <w:r>
        <w:rPr>
          <w:rFonts w:ascii="Segoe UI" w:hAnsi="Segoe UI" w:cs="Segoe UI"/>
          <w:color w:val="000000"/>
          <w:sz w:val="23"/>
          <w:szCs w:val="23"/>
          <w:bdr w:val="none" w:sz="0" w:space="0" w:color="auto" w:frame="1"/>
        </w:rPr>
        <w:t> e </w:t>
      </w:r>
      <w:hyperlink r:id="rId13" w:tgtFrame="_blank" w:history="1">
        <w:r>
          <w:rPr>
            <w:rStyle w:val="Collegamentoipertestuale"/>
            <w:rFonts w:ascii="Segoe UI" w:hAnsi="Segoe UI" w:cs="Segoe UI"/>
            <w:color w:val="000000"/>
            <w:sz w:val="23"/>
            <w:szCs w:val="23"/>
            <w:bdr w:val="none" w:sz="0" w:space="0" w:color="auto" w:frame="1"/>
          </w:rPr>
          <w:t>116</w:t>
        </w:r>
      </w:hyperlink>
      <w:r>
        <w:rPr>
          <w:rFonts w:ascii="Segoe UI" w:hAnsi="Segoe UI" w:cs="Segoe UI"/>
          <w:color w:val="000000"/>
          <w:sz w:val="23"/>
          <w:szCs w:val="23"/>
          <w:bdr w:val="none" w:sz="0" w:space="0" w:color="auto" w:frame="1"/>
        </w:rPr>
        <w:t> del TUIR;</w:t>
      </w:r>
    </w:p>
    <w:p w14:paraId="253D5883" w14:textId="77777777" w:rsidR="00961FF6" w:rsidRDefault="00961FF6" w:rsidP="00961FF6">
      <w:pPr>
        <w:pStyle w:val="NormaleWeb"/>
        <w:shd w:val="clear" w:color="auto" w:fill="FFFFFF"/>
        <w:spacing w:before="0" w:beforeAutospacing="0" w:after="0"/>
        <w:jc w:val="both"/>
        <w:rPr>
          <w:rFonts w:ascii="Segoe UI" w:hAnsi="Segoe UI" w:cs="Segoe UI"/>
          <w:color w:val="201F1E"/>
          <w:sz w:val="23"/>
          <w:szCs w:val="23"/>
        </w:rPr>
      </w:pPr>
      <w:r>
        <w:rPr>
          <w:rFonts w:ascii="Segoe UI" w:hAnsi="Segoe UI" w:cs="Segoe UI"/>
          <w:color w:val="000000"/>
          <w:sz w:val="23"/>
          <w:szCs w:val="23"/>
          <w:bdr w:val="none" w:sz="0" w:space="0" w:color="auto" w:frame="1"/>
        </w:rPr>
        <w:t>- per i versamenti saldo 2020 e primo acconto 2021 dei </w:t>
      </w:r>
      <w:r>
        <w:rPr>
          <w:rFonts w:ascii="Segoe UI" w:hAnsi="Segoe UI" w:cs="Segoe UI"/>
          <w:b/>
          <w:bCs/>
          <w:color w:val="000000"/>
          <w:sz w:val="23"/>
          <w:szCs w:val="23"/>
          <w:bdr w:val="none" w:sz="0" w:space="0" w:color="auto" w:frame="1"/>
        </w:rPr>
        <w:t>contributi INPS</w:t>
      </w:r>
      <w:r>
        <w:rPr>
          <w:rFonts w:ascii="Segoe UI" w:hAnsi="Segoe UI" w:cs="Segoe UI"/>
          <w:color w:val="000000"/>
          <w:sz w:val="23"/>
          <w:szCs w:val="23"/>
          <w:bdr w:val="none" w:sz="0" w:space="0" w:color="auto" w:frame="1"/>
        </w:rPr>
        <w:t> dovuti dagli artigiani, commercianti e professionisti iscritti alle apposite Gestioni.</w:t>
      </w:r>
    </w:p>
    <w:p w14:paraId="3D79668B" w14:textId="1FAF6BD0" w:rsidR="00961FF6" w:rsidRDefault="00961FF6" w:rsidP="00961FF6">
      <w:pPr>
        <w:pStyle w:val="NormaleWeb"/>
        <w:shd w:val="clear" w:color="auto" w:fill="FFFFFF"/>
        <w:spacing w:before="0" w:after="0" w:afterAutospacing="0"/>
        <w:jc w:val="both"/>
        <w:rPr>
          <w:rFonts w:ascii="Segoe UI" w:hAnsi="Segoe UI" w:cs="Segoe UI"/>
          <w:color w:val="000000"/>
          <w:sz w:val="23"/>
          <w:szCs w:val="23"/>
          <w:bdr w:val="none" w:sz="0" w:space="0" w:color="auto" w:frame="1"/>
        </w:rPr>
      </w:pPr>
      <w:r>
        <w:rPr>
          <w:rFonts w:ascii="Segoe UI" w:hAnsi="Segoe UI" w:cs="Segoe UI"/>
          <w:color w:val="000000"/>
          <w:sz w:val="23"/>
          <w:szCs w:val="23"/>
          <w:bdr w:val="none" w:sz="0" w:space="0" w:color="auto" w:frame="1"/>
        </w:rPr>
        <w:t>Per quanto riguarda il versamento del primo acconto 2021, si ricorda che il termine è stato rinviato dall’INPS, a data da destinarsi, in relazione ai soggetti interessati dall’esonero contributivo previsto dalla legge di bilancio 2021, in attesa della conclusione dell’iter di emanazione del decreto interministeriale attuativo. Con il messaggio n.</w:t>
      </w:r>
      <w:hyperlink r:id="rId14" w:tgtFrame="_blank" w:history="1">
        <w:r>
          <w:rPr>
            <w:rStyle w:val="Collegamentoipertestuale"/>
            <w:rFonts w:ascii="Segoe UI" w:hAnsi="Segoe UI" w:cs="Segoe UI"/>
            <w:b/>
            <w:bCs/>
            <w:color w:val="000000"/>
            <w:sz w:val="23"/>
            <w:szCs w:val="23"/>
            <w:bdr w:val="none" w:sz="0" w:space="0" w:color="auto" w:frame="1"/>
          </w:rPr>
          <w:t>2418</w:t>
        </w:r>
      </w:hyperlink>
      <w:r>
        <w:rPr>
          <w:rFonts w:ascii="Segoe UI" w:hAnsi="Segoe UI" w:cs="Segoe UI"/>
          <w:color w:val="000000"/>
          <w:sz w:val="23"/>
          <w:szCs w:val="23"/>
          <w:bdr w:val="none" w:sz="0" w:space="0" w:color="auto" w:frame="1"/>
        </w:rPr>
        <w:t xml:space="preserve"> del 25/06/2021 l’INPS ha comunicato che viene differito, </w:t>
      </w:r>
      <w:r>
        <w:rPr>
          <w:rFonts w:ascii="Segoe UI" w:hAnsi="Segoe UI" w:cs="Segoe UI"/>
          <w:color w:val="000000"/>
          <w:sz w:val="23"/>
          <w:szCs w:val="23"/>
          <w:bdr w:val="none" w:sz="0" w:space="0" w:color="auto" w:frame="1"/>
        </w:rPr>
        <w:lastRenderedPageBreak/>
        <w:t>fino a nuova comunicazione, il termine di versamento del </w:t>
      </w:r>
      <w:r>
        <w:rPr>
          <w:rFonts w:ascii="Segoe UI" w:hAnsi="Segoe UI" w:cs="Segoe UI"/>
          <w:b/>
          <w:bCs/>
          <w:color w:val="000000"/>
          <w:sz w:val="23"/>
          <w:szCs w:val="23"/>
          <w:bdr w:val="none" w:sz="0" w:space="0" w:color="auto" w:frame="1"/>
        </w:rPr>
        <w:t>primo acconto 2021 </w:t>
      </w:r>
      <w:r>
        <w:rPr>
          <w:rFonts w:ascii="Segoe UI" w:hAnsi="Segoe UI" w:cs="Segoe UI"/>
          <w:color w:val="000000"/>
          <w:sz w:val="23"/>
          <w:szCs w:val="23"/>
          <w:bdr w:val="none" w:sz="0" w:space="0" w:color="auto" w:frame="1"/>
        </w:rPr>
        <w:t>relativo alla contribuzione dovuta dagli iscritti alla Gestione speciale INPS </w:t>
      </w:r>
      <w:r>
        <w:rPr>
          <w:rFonts w:ascii="Segoe UI" w:hAnsi="Segoe UI" w:cs="Segoe UI"/>
          <w:b/>
          <w:bCs/>
          <w:color w:val="000000"/>
          <w:sz w:val="23"/>
          <w:szCs w:val="23"/>
          <w:bdr w:val="none" w:sz="0" w:space="0" w:color="auto" w:frame="1"/>
        </w:rPr>
        <w:t>artigiani</w:t>
      </w:r>
      <w:r>
        <w:rPr>
          <w:rFonts w:ascii="Segoe UI" w:hAnsi="Segoe UI" w:cs="Segoe UI"/>
          <w:color w:val="000000"/>
          <w:sz w:val="23"/>
          <w:szCs w:val="23"/>
          <w:bdr w:val="none" w:sz="0" w:space="0" w:color="auto" w:frame="1"/>
        </w:rPr>
        <w:t> ed esercenti attività commerciali, nonché dagli iscritti alla Gestione separata INPS e che producono reddito di lavoro </w:t>
      </w:r>
      <w:r>
        <w:rPr>
          <w:rFonts w:ascii="Segoe UI" w:hAnsi="Segoe UI" w:cs="Segoe UI"/>
          <w:b/>
          <w:bCs/>
          <w:color w:val="000000"/>
          <w:sz w:val="23"/>
          <w:szCs w:val="23"/>
          <w:bdr w:val="none" w:sz="0" w:space="0" w:color="auto" w:frame="1"/>
        </w:rPr>
        <w:t>autonomo </w:t>
      </w:r>
      <w:r>
        <w:rPr>
          <w:rFonts w:ascii="Segoe UI" w:hAnsi="Segoe UI" w:cs="Segoe UI"/>
          <w:i/>
          <w:iCs/>
          <w:color w:val="000000"/>
          <w:sz w:val="23"/>
          <w:szCs w:val="23"/>
          <w:bdr w:val="none" w:sz="0" w:space="0" w:color="auto" w:frame="1"/>
        </w:rPr>
        <w:t>ex</w:t>
      </w:r>
      <w:r>
        <w:rPr>
          <w:rFonts w:ascii="Segoe UI" w:hAnsi="Segoe UI" w:cs="Segoe UI"/>
          <w:color w:val="000000"/>
          <w:sz w:val="23"/>
          <w:szCs w:val="23"/>
          <w:bdr w:val="none" w:sz="0" w:space="0" w:color="auto" w:frame="1"/>
        </w:rPr>
        <w:t> </w:t>
      </w:r>
      <w:hyperlink r:id="rId15" w:anchor="Comma1" w:tgtFrame="_blank" w:history="1">
        <w:r>
          <w:rPr>
            <w:rStyle w:val="Collegamentoipertestuale"/>
            <w:rFonts w:ascii="Segoe UI" w:hAnsi="Segoe UI" w:cs="Segoe UI"/>
            <w:b/>
            <w:bCs/>
            <w:color w:val="000000"/>
            <w:sz w:val="23"/>
            <w:szCs w:val="23"/>
            <w:bdr w:val="none" w:sz="0" w:space="0" w:color="auto" w:frame="1"/>
          </w:rPr>
          <w:t>art. 53</w:t>
        </w:r>
      </w:hyperlink>
      <w:r>
        <w:rPr>
          <w:rFonts w:ascii="Segoe UI" w:hAnsi="Segoe UI" w:cs="Segoe UI"/>
          <w:color w:val="000000"/>
          <w:sz w:val="23"/>
          <w:szCs w:val="23"/>
          <w:bdr w:val="none" w:sz="0" w:space="0" w:color="auto" w:frame="1"/>
        </w:rPr>
        <w:t> comma 1 del TUIR, interessati dall’esonero contributivo introdotto, per l’anno 2021, dall’</w:t>
      </w:r>
      <w:hyperlink r:id="rId16" w:anchor="Commada" w:tgtFrame="_blank" w:history="1">
        <w:r>
          <w:rPr>
            <w:rStyle w:val="Collegamentoipertestuale"/>
            <w:rFonts w:ascii="Segoe UI" w:hAnsi="Segoe UI" w:cs="Segoe UI"/>
            <w:b/>
            <w:bCs/>
            <w:color w:val="000000"/>
            <w:sz w:val="23"/>
            <w:szCs w:val="23"/>
            <w:bdr w:val="none" w:sz="0" w:space="0" w:color="auto" w:frame="1"/>
          </w:rPr>
          <w:t>art. 1</w:t>
        </w:r>
      </w:hyperlink>
      <w:r>
        <w:rPr>
          <w:rFonts w:ascii="Segoe UI" w:hAnsi="Segoe UI" w:cs="Segoe UI"/>
          <w:color w:val="000000"/>
          <w:sz w:val="23"/>
          <w:szCs w:val="23"/>
          <w:bdr w:val="none" w:sz="0" w:space="0" w:color="auto" w:frame="1"/>
        </w:rPr>
        <w:t> commi da 20 a 22-</w:t>
      </w:r>
      <w:r>
        <w:rPr>
          <w:rFonts w:ascii="Segoe UI" w:hAnsi="Segoe UI" w:cs="Segoe UI"/>
          <w:i/>
          <w:iCs/>
          <w:color w:val="000000"/>
          <w:sz w:val="23"/>
          <w:szCs w:val="23"/>
          <w:bdr w:val="none" w:sz="0" w:space="0" w:color="auto" w:frame="1"/>
        </w:rPr>
        <w:t>bis</w:t>
      </w:r>
      <w:r>
        <w:rPr>
          <w:rFonts w:ascii="Segoe UI" w:hAnsi="Segoe UI" w:cs="Segoe UI"/>
          <w:color w:val="000000"/>
          <w:sz w:val="23"/>
          <w:szCs w:val="23"/>
          <w:bdr w:val="none" w:sz="0" w:space="0" w:color="auto" w:frame="1"/>
        </w:rPr>
        <w:t> della L. 178/2020 (legge di bilancio 2021).</w:t>
      </w:r>
    </w:p>
    <w:p w14:paraId="27C7C35C" w14:textId="77777777" w:rsidR="00A95048" w:rsidRDefault="00A95048" w:rsidP="00961FF6">
      <w:pPr>
        <w:pStyle w:val="NormaleWeb"/>
        <w:shd w:val="clear" w:color="auto" w:fill="FFFFFF"/>
        <w:spacing w:before="0" w:after="0" w:afterAutospacing="0"/>
        <w:jc w:val="both"/>
        <w:rPr>
          <w:rFonts w:ascii="Segoe UI" w:hAnsi="Segoe UI" w:cs="Segoe UI"/>
          <w:color w:val="201F1E"/>
          <w:sz w:val="23"/>
          <w:szCs w:val="23"/>
        </w:rPr>
      </w:pPr>
    </w:p>
    <w:p w14:paraId="755FAAE0" w14:textId="359E6E20" w:rsidR="00961FF6" w:rsidRDefault="00961FF6" w:rsidP="00961FF6">
      <w:pPr>
        <w:pStyle w:val="NormaleWeb"/>
        <w:shd w:val="clear" w:color="auto" w:fill="FFFFFF"/>
        <w:spacing w:before="0" w:after="0" w:afterAutospacing="0"/>
        <w:jc w:val="both"/>
        <w:rPr>
          <w:rFonts w:ascii="Segoe UI" w:hAnsi="Segoe UI" w:cs="Segoe UI"/>
          <w:color w:val="000000"/>
          <w:sz w:val="23"/>
          <w:szCs w:val="23"/>
          <w:bdr w:val="none" w:sz="0" w:space="0" w:color="auto" w:frame="1"/>
        </w:rPr>
      </w:pPr>
      <w:r>
        <w:rPr>
          <w:rFonts w:ascii="Segoe UI" w:hAnsi="Segoe UI" w:cs="Segoe UI"/>
          <w:color w:val="000000"/>
          <w:sz w:val="23"/>
          <w:szCs w:val="23"/>
          <w:bdr w:val="none" w:sz="0" w:space="0" w:color="auto" w:frame="1"/>
        </w:rPr>
        <w:t>Lo Studio rimane a disposizione per ogni eventuale chiarimento.</w:t>
      </w:r>
    </w:p>
    <w:p w14:paraId="19F382F7" w14:textId="77777777" w:rsidR="00A95048" w:rsidRDefault="00A95048" w:rsidP="00961FF6">
      <w:pPr>
        <w:pStyle w:val="NormaleWeb"/>
        <w:shd w:val="clear" w:color="auto" w:fill="FFFFFF"/>
        <w:spacing w:before="0" w:after="0" w:afterAutospacing="0"/>
        <w:jc w:val="both"/>
        <w:rPr>
          <w:rFonts w:ascii="Segoe UI" w:hAnsi="Segoe UI" w:cs="Segoe UI"/>
          <w:color w:val="201F1E"/>
          <w:sz w:val="23"/>
          <w:szCs w:val="23"/>
        </w:rPr>
      </w:pPr>
    </w:p>
    <w:p w14:paraId="722B3F0B" w14:textId="77777777" w:rsidR="00961FF6" w:rsidRDefault="00961FF6" w:rsidP="00961FF6">
      <w:pPr>
        <w:pStyle w:val="NormaleWeb"/>
        <w:shd w:val="clear" w:color="auto" w:fill="FFFFFF"/>
        <w:spacing w:before="0" w:after="0" w:afterAutospacing="0"/>
        <w:jc w:val="both"/>
        <w:rPr>
          <w:rFonts w:ascii="Segoe UI" w:hAnsi="Segoe UI" w:cs="Segoe UI"/>
          <w:color w:val="201F1E"/>
          <w:sz w:val="23"/>
          <w:szCs w:val="23"/>
        </w:rPr>
      </w:pPr>
      <w:r>
        <w:rPr>
          <w:rFonts w:ascii="Segoe UI" w:hAnsi="Segoe UI" w:cs="Segoe UI"/>
          <w:color w:val="000000"/>
          <w:sz w:val="23"/>
          <w:szCs w:val="23"/>
          <w:bdr w:val="none" w:sz="0" w:space="0" w:color="auto" w:frame="1"/>
        </w:rPr>
        <w:t>Cordiali Saluti</w:t>
      </w:r>
    </w:p>
    <w:p w14:paraId="001E89F4" w14:textId="77777777" w:rsidR="00961FF6" w:rsidRDefault="00961FF6" w:rsidP="00961FF6">
      <w:pPr>
        <w:pStyle w:val="NormaleWeb"/>
        <w:shd w:val="clear" w:color="auto" w:fill="FFFFFF"/>
        <w:spacing w:before="0" w:after="0" w:afterAutospacing="0"/>
        <w:jc w:val="both"/>
        <w:rPr>
          <w:rFonts w:ascii="Segoe UI" w:hAnsi="Segoe UI" w:cs="Segoe UI"/>
          <w:color w:val="201F1E"/>
          <w:sz w:val="23"/>
          <w:szCs w:val="23"/>
        </w:rPr>
      </w:pPr>
      <w:r>
        <w:rPr>
          <w:rFonts w:ascii="Segoe UI" w:hAnsi="Segoe UI" w:cs="Segoe UI"/>
          <w:color w:val="000000"/>
          <w:sz w:val="23"/>
          <w:szCs w:val="23"/>
          <w:bdr w:val="none" w:sz="0" w:space="0" w:color="auto" w:frame="1"/>
        </w:rPr>
        <w:t>Lo Studio</w:t>
      </w:r>
    </w:p>
    <w:p w14:paraId="570260B6" w14:textId="77777777" w:rsidR="00547DE2" w:rsidRPr="00181F89" w:rsidRDefault="00547DE2" w:rsidP="00961FF6">
      <w:pPr>
        <w:ind w:right="1134"/>
        <w:jc w:val="both"/>
        <w:rPr>
          <w:rFonts w:ascii="Arial" w:hAnsi="Arial" w:cs="Arial"/>
        </w:rPr>
      </w:pPr>
    </w:p>
    <w:sectPr w:rsidR="00547DE2" w:rsidRPr="00181F89" w:rsidSect="00A95048">
      <w:headerReference w:type="default" r:id="rId17"/>
      <w:headerReference w:type="first" r:id="rId18"/>
      <w:footerReference w:type="first" r:id="rId19"/>
      <w:pgSz w:w="11906" w:h="16838" w:code="9"/>
      <w:pgMar w:top="2552" w:right="1871" w:bottom="2552" w:left="1871"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3C11F3" w14:textId="77777777" w:rsidR="0050043F" w:rsidRDefault="0050043F" w:rsidP="004F1397">
      <w:pPr>
        <w:spacing w:after="0" w:line="240" w:lineRule="auto"/>
      </w:pPr>
      <w:r>
        <w:separator/>
      </w:r>
    </w:p>
  </w:endnote>
  <w:endnote w:type="continuationSeparator" w:id="0">
    <w:p w14:paraId="76543DB3" w14:textId="77777777" w:rsidR="0050043F" w:rsidRDefault="0050043F" w:rsidP="004F13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Bold">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Eurostile ExtendedTwo">
    <w:altName w:val="MS PGothic"/>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0BA8D" w14:textId="23D29302" w:rsidR="000F7A4B" w:rsidRDefault="0082553A" w:rsidP="000F7A4B">
    <w:pPr>
      <w:pStyle w:val="Pidipagina"/>
      <w:rPr>
        <w:rFonts w:ascii="Georgia" w:hAnsi="Georgia"/>
        <w:sz w:val="16"/>
        <w:szCs w:val="16"/>
      </w:rPr>
    </w:pPr>
    <w:r>
      <w:rPr>
        <w:rFonts w:ascii="Georgia" w:hAnsi="Georgia"/>
        <w:sz w:val="16"/>
        <w:szCs w:val="16"/>
      </w:rPr>
      <w:t xml:space="preserve"> </w:t>
    </w:r>
    <w:r w:rsidR="000F7A4B">
      <w:rPr>
        <w:rFonts w:ascii="Georgia" w:hAnsi="Georgia"/>
        <w:sz w:val="16"/>
        <w:szCs w:val="16"/>
      </w:rPr>
      <w:t xml:space="preserve"> Via Pallone 20 – 37121 Verona</w:t>
    </w:r>
    <w:r w:rsidR="00416B32" w:rsidRPr="005B2FE8">
      <w:rPr>
        <w:rFonts w:ascii="Georgia" w:hAnsi="Georgia"/>
        <w:sz w:val="16"/>
        <w:szCs w:val="16"/>
      </w:rPr>
      <w:t xml:space="preserve">  </w:t>
    </w:r>
    <w:r w:rsidR="000F7A4B">
      <w:rPr>
        <w:rFonts w:ascii="Georgia" w:hAnsi="Georgia"/>
        <w:sz w:val="16"/>
        <w:szCs w:val="16"/>
      </w:rPr>
      <w:t xml:space="preserve">       </w:t>
    </w:r>
    <w:r w:rsidR="00416B32" w:rsidRPr="005B2FE8">
      <w:rPr>
        <w:rFonts w:ascii="Georgia" w:hAnsi="Georgia"/>
        <w:sz w:val="16"/>
        <w:szCs w:val="16"/>
      </w:rPr>
      <w:t xml:space="preserve">       </w:t>
    </w:r>
    <w:r w:rsidR="005D696C">
      <w:rPr>
        <w:rFonts w:ascii="Georgia" w:hAnsi="Georgia"/>
        <w:sz w:val="16"/>
        <w:szCs w:val="16"/>
      </w:rPr>
      <w:tab/>
    </w:r>
    <w:r w:rsidR="005D696C">
      <w:rPr>
        <w:rFonts w:ascii="Georgia" w:hAnsi="Georgia"/>
        <w:sz w:val="16"/>
        <w:szCs w:val="16"/>
      </w:rPr>
      <w:tab/>
      <w:t>Largo Venezia 2</w:t>
    </w:r>
    <w:r w:rsidR="000F7A4B">
      <w:rPr>
        <w:rFonts w:ascii="Georgia" w:hAnsi="Georgia"/>
        <w:sz w:val="16"/>
        <w:szCs w:val="16"/>
      </w:rPr>
      <w:t xml:space="preserve"> – 37045 Legnago</w:t>
    </w:r>
  </w:p>
  <w:p w14:paraId="6921662C" w14:textId="3FF62257" w:rsidR="005B2FE8" w:rsidRDefault="005B2FE8" w:rsidP="000F7A4B">
    <w:pPr>
      <w:pStyle w:val="Pidipagina"/>
      <w:rPr>
        <w:rFonts w:ascii="Georgia" w:hAnsi="Georgia"/>
        <w:sz w:val="16"/>
        <w:szCs w:val="16"/>
      </w:rPr>
    </w:pPr>
    <w:r w:rsidRPr="005B2FE8">
      <w:rPr>
        <w:rFonts w:ascii="Georgia" w:hAnsi="Georgia"/>
        <w:sz w:val="16"/>
        <w:szCs w:val="16"/>
      </w:rPr>
      <w:t xml:space="preserve">commercialistivr@studiocomma.it </w:t>
    </w:r>
    <w:r>
      <w:rPr>
        <w:rFonts w:ascii="Georgia" w:hAnsi="Georgia"/>
        <w:sz w:val="16"/>
        <w:szCs w:val="16"/>
      </w:rPr>
      <w:t xml:space="preserve">    </w:t>
    </w:r>
    <w:r w:rsidR="000F7A4B">
      <w:rPr>
        <w:rFonts w:ascii="Georgia" w:hAnsi="Georgia"/>
        <w:sz w:val="16"/>
        <w:szCs w:val="16"/>
      </w:rPr>
      <w:t xml:space="preserve">    </w:t>
    </w:r>
    <w:r>
      <w:rPr>
        <w:rFonts w:ascii="Georgia" w:hAnsi="Georgia"/>
        <w:sz w:val="16"/>
        <w:szCs w:val="16"/>
      </w:rPr>
      <w:t xml:space="preserve">   </w:t>
    </w:r>
    <w:r w:rsidRPr="005B2FE8">
      <w:rPr>
        <w:rFonts w:ascii="Georgia" w:hAnsi="Georgia"/>
        <w:sz w:val="16"/>
        <w:szCs w:val="16"/>
      </w:rPr>
      <w:t xml:space="preserve"> </w:t>
    </w:r>
    <w:r w:rsidR="005D696C">
      <w:rPr>
        <w:rFonts w:ascii="Georgia" w:hAnsi="Georgia"/>
        <w:sz w:val="16"/>
        <w:szCs w:val="16"/>
      </w:rPr>
      <w:tab/>
    </w:r>
    <w:r>
      <w:rPr>
        <w:rFonts w:ascii="Georgia" w:hAnsi="Georgia"/>
        <w:sz w:val="16"/>
        <w:szCs w:val="16"/>
      </w:rPr>
      <w:t xml:space="preserve">    </w:t>
    </w:r>
    <w:r w:rsidRPr="005B2FE8">
      <w:rPr>
        <w:rFonts w:ascii="Georgia" w:hAnsi="Georgia"/>
        <w:sz w:val="16"/>
        <w:szCs w:val="16"/>
      </w:rPr>
      <w:t xml:space="preserve"> </w:t>
    </w:r>
    <w:r w:rsidR="000F7A4B">
      <w:rPr>
        <w:rFonts w:ascii="Georgia" w:hAnsi="Georgia"/>
        <w:sz w:val="16"/>
        <w:szCs w:val="16"/>
      </w:rPr>
      <w:t xml:space="preserve">                </w:t>
    </w:r>
    <w:r w:rsidR="005D696C">
      <w:rPr>
        <w:rFonts w:ascii="Georgia" w:hAnsi="Georgia"/>
        <w:sz w:val="16"/>
        <w:szCs w:val="16"/>
      </w:rPr>
      <w:t xml:space="preserve">                                              </w:t>
    </w:r>
    <w:r w:rsidR="00B90C1B">
      <w:rPr>
        <w:rFonts w:ascii="Georgia" w:hAnsi="Georgia"/>
        <w:sz w:val="16"/>
        <w:szCs w:val="16"/>
      </w:rPr>
      <w:t xml:space="preserve">     </w:t>
    </w:r>
    <w:r w:rsidRPr="005B2FE8">
      <w:rPr>
        <w:rFonts w:ascii="Georgia" w:hAnsi="Georgia"/>
        <w:sz w:val="16"/>
        <w:szCs w:val="16"/>
      </w:rPr>
      <w:t xml:space="preserve"> </w:t>
    </w:r>
    <w:r w:rsidR="0082553A" w:rsidRPr="0082553A">
      <w:rPr>
        <w:rFonts w:ascii="Georgia" w:hAnsi="Georgia"/>
        <w:sz w:val="16"/>
        <w:szCs w:val="16"/>
      </w:rPr>
      <w:t>commercialisti@studiocomma.it</w:t>
    </w:r>
  </w:p>
  <w:p w14:paraId="7E91A85F" w14:textId="453671C4" w:rsidR="005B2FE8" w:rsidRDefault="005B2FE8" w:rsidP="005B2FE8">
    <w:pPr>
      <w:pStyle w:val="Pidipagina"/>
      <w:jc w:val="center"/>
      <w:rPr>
        <w:rFonts w:ascii="Georgia" w:hAnsi="Georgia"/>
        <w:sz w:val="16"/>
        <w:szCs w:val="16"/>
      </w:rPr>
    </w:pPr>
  </w:p>
  <w:p w14:paraId="54B73D46" w14:textId="77777777" w:rsidR="00B53D8D" w:rsidRDefault="00B53D8D" w:rsidP="005B2FE8">
    <w:pPr>
      <w:pStyle w:val="Pidipagina"/>
      <w:jc w:val="center"/>
      <w:rPr>
        <w:rFonts w:ascii="Georgia" w:hAnsi="Georgia"/>
        <w:sz w:val="16"/>
        <w:szCs w:val="16"/>
      </w:rPr>
    </w:pPr>
  </w:p>
  <w:p w14:paraId="6361313F" w14:textId="41709761" w:rsidR="00B90C1B" w:rsidRPr="00B53D8D" w:rsidRDefault="00B90C1B" w:rsidP="005B2FE8">
    <w:pPr>
      <w:pStyle w:val="Pidipagina"/>
      <w:jc w:val="center"/>
      <w:rPr>
        <w:rFonts w:ascii="Georgia" w:hAnsi="Georgia"/>
        <w:sz w:val="18"/>
        <w:szCs w:val="18"/>
      </w:rPr>
    </w:pPr>
    <w:r w:rsidRPr="00B53D8D">
      <w:rPr>
        <w:rFonts w:ascii="Georgia" w:hAnsi="Georgia"/>
        <w:sz w:val="18"/>
        <w:szCs w:val="18"/>
      </w:rPr>
      <w:t>Tel.0458673001-0442600884-Fax 0458011208</w:t>
    </w:r>
  </w:p>
  <w:p w14:paraId="176C3683" w14:textId="77777777" w:rsidR="00B90C1B" w:rsidRPr="005B2FE8" w:rsidRDefault="00B90C1B" w:rsidP="005B2FE8">
    <w:pPr>
      <w:pStyle w:val="Pidipagina"/>
      <w:jc w:val="center"/>
      <w:rPr>
        <w:rFonts w:ascii="Georgia" w:hAnsi="Georgi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FC551" w14:textId="77777777" w:rsidR="0050043F" w:rsidRDefault="0050043F" w:rsidP="004F1397">
      <w:pPr>
        <w:spacing w:after="0" w:line="240" w:lineRule="auto"/>
      </w:pPr>
      <w:r>
        <w:separator/>
      </w:r>
    </w:p>
  </w:footnote>
  <w:footnote w:type="continuationSeparator" w:id="0">
    <w:p w14:paraId="76FAB652" w14:textId="77777777" w:rsidR="0050043F" w:rsidRDefault="0050043F" w:rsidP="004F13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897B9" w14:textId="4D4A8C22" w:rsidR="00416B32" w:rsidRDefault="00416B32">
    <w:pPr>
      <w:pStyle w:val="Intestazione"/>
    </w:pPr>
    <w:r>
      <w:rPr>
        <w:noProof/>
        <w:lang w:eastAsia="it-IT"/>
      </w:rPr>
      <w:drawing>
        <wp:anchor distT="0" distB="0" distL="114300" distR="114300" simplePos="0" relativeHeight="251659264" behindDoc="0" locked="0" layoutInCell="1" allowOverlap="1" wp14:anchorId="7169DA27" wp14:editId="2EC2586B">
          <wp:simplePos x="0" y="0"/>
          <wp:positionH relativeFrom="margin">
            <wp:align>center</wp:align>
          </wp:positionH>
          <wp:positionV relativeFrom="margin">
            <wp:posOffset>-1055370</wp:posOffset>
          </wp:positionV>
          <wp:extent cx="990600" cy="304800"/>
          <wp:effectExtent l="0" t="0" r="0" b="0"/>
          <wp:wrapSquare wrapText="bothSides"/>
          <wp:docPr id="53" name="Immagin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Grand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90600" cy="3048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151C3" w14:textId="4CA8BA89" w:rsidR="0082553A" w:rsidRDefault="0082553A" w:rsidP="0082553A">
    <w:pPr>
      <w:pStyle w:val="Intestazione"/>
      <w:jc w:val="center"/>
      <w:rPr>
        <w:rFonts w:ascii="Eurostile ExtendedTwo" w:hAnsi="Eurostile ExtendedTwo"/>
        <w:sz w:val="16"/>
        <w:szCs w:val="16"/>
      </w:rPr>
    </w:pPr>
  </w:p>
  <w:p w14:paraId="375A6D53" w14:textId="6D137BBF" w:rsidR="0082553A" w:rsidRDefault="00CC3FA2" w:rsidP="00A95048">
    <w:pPr>
      <w:pStyle w:val="Intestazione"/>
      <w:tabs>
        <w:tab w:val="clear" w:pos="9638"/>
        <w:tab w:val="right" w:pos="8080"/>
      </w:tabs>
      <w:jc w:val="center"/>
      <w:rPr>
        <w:rFonts w:ascii="Eurostile ExtendedTwo" w:hAnsi="Eurostile ExtendedTwo"/>
        <w:sz w:val="16"/>
        <w:szCs w:val="16"/>
      </w:rPr>
    </w:pPr>
    <w:r>
      <w:rPr>
        <w:noProof/>
        <w:lang w:eastAsia="it-IT"/>
      </w:rPr>
      <w:drawing>
        <wp:inline distT="0" distB="0" distL="0" distR="0" wp14:anchorId="1F7F3B56" wp14:editId="06F63377">
          <wp:extent cx="2028825" cy="523875"/>
          <wp:effectExtent l="0" t="0" r="9525" b="9525"/>
          <wp:docPr id="54" name="Immagin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38848" cy="526463"/>
                  </a:xfrm>
                  <a:prstGeom prst="rect">
                    <a:avLst/>
                  </a:prstGeom>
                  <a:noFill/>
                  <a:ln>
                    <a:noFill/>
                  </a:ln>
                </pic:spPr>
              </pic:pic>
            </a:graphicData>
          </a:graphic>
        </wp:inline>
      </w:drawing>
    </w:r>
  </w:p>
  <w:p w14:paraId="38DD713D" w14:textId="2A8EBF68" w:rsidR="006B5AB0" w:rsidRPr="006B5AB0" w:rsidRDefault="006B5AB0" w:rsidP="006B5AB0">
    <w:pPr>
      <w:pStyle w:val="Nessunaspaziatura"/>
      <w:spacing w:line="200" w:lineRule="exact"/>
      <w:jc w:val="both"/>
      <w:rPr>
        <w:rFonts w:ascii="Georgia" w:hAnsi="Georgia"/>
        <w:sz w:val="16"/>
        <w:szCs w:val="16"/>
      </w:rPr>
    </w:pPr>
    <w:r>
      <w:rPr>
        <w:rFonts w:ascii="Georgia" w:hAnsi="Georgia"/>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576BA"/>
    <w:multiLevelType w:val="hybridMultilevel"/>
    <w:tmpl w:val="39DAF3A4"/>
    <w:lvl w:ilvl="0" w:tplc="2918E15C">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 w15:restartNumberingAfterBreak="0">
    <w:nsid w:val="7C645FC1"/>
    <w:multiLevelType w:val="hybridMultilevel"/>
    <w:tmpl w:val="68028F4C"/>
    <w:lvl w:ilvl="0" w:tplc="2530F592">
      <w:start w:val="4"/>
      <w:numFmt w:val="bullet"/>
      <w:lvlText w:val="-"/>
      <w:lvlJc w:val="left"/>
      <w:pPr>
        <w:ind w:left="720" w:hanging="360"/>
      </w:pPr>
      <w:rPr>
        <w:rFonts w:ascii="Calibri,Bold" w:eastAsiaTheme="minorHAnsi" w:hAnsi="Calibri,Bold" w:cs="Calibri,Bold"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7F86137A"/>
    <w:multiLevelType w:val="hybridMultilevel"/>
    <w:tmpl w:val="5CFEEDCC"/>
    <w:lvl w:ilvl="0" w:tplc="9B6C03E8">
      <w:numFmt w:val="bullet"/>
      <w:lvlText w:val="-"/>
      <w:lvlJc w:val="left"/>
      <w:pPr>
        <w:ind w:left="420" w:hanging="360"/>
      </w:pPr>
      <w:rPr>
        <w:rFonts w:ascii="Arial" w:eastAsia="Times New Roman" w:hAnsi="Arial" w:cs="Arial" w:hint="default"/>
      </w:rPr>
    </w:lvl>
    <w:lvl w:ilvl="1" w:tplc="04100003">
      <w:start w:val="1"/>
      <w:numFmt w:val="bullet"/>
      <w:lvlText w:val="o"/>
      <w:lvlJc w:val="left"/>
      <w:pPr>
        <w:ind w:left="1140" w:hanging="360"/>
      </w:pPr>
      <w:rPr>
        <w:rFonts w:ascii="Courier New" w:hAnsi="Courier New" w:cs="Courier New" w:hint="default"/>
      </w:rPr>
    </w:lvl>
    <w:lvl w:ilvl="2" w:tplc="04100005" w:tentative="1">
      <w:start w:val="1"/>
      <w:numFmt w:val="bullet"/>
      <w:lvlText w:val=""/>
      <w:lvlJc w:val="left"/>
      <w:pPr>
        <w:ind w:left="1860" w:hanging="360"/>
      </w:pPr>
      <w:rPr>
        <w:rFonts w:ascii="Wingdings" w:hAnsi="Wingdings" w:hint="default"/>
      </w:rPr>
    </w:lvl>
    <w:lvl w:ilvl="3" w:tplc="04100001" w:tentative="1">
      <w:start w:val="1"/>
      <w:numFmt w:val="bullet"/>
      <w:lvlText w:val=""/>
      <w:lvlJc w:val="left"/>
      <w:pPr>
        <w:ind w:left="2580" w:hanging="360"/>
      </w:pPr>
      <w:rPr>
        <w:rFonts w:ascii="Symbol" w:hAnsi="Symbol" w:hint="default"/>
      </w:rPr>
    </w:lvl>
    <w:lvl w:ilvl="4" w:tplc="04100003" w:tentative="1">
      <w:start w:val="1"/>
      <w:numFmt w:val="bullet"/>
      <w:lvlText w:val="o"/>
      <w:lvlJc w:val="left"/>
      <w:pPr>
        <w:ind w:left="3300" w:hanging="360"/>
      </w:pPr>
      <w:rPr>
        <w:rFonts w:ascii="Courier New" w:hAnsi="Courier New" w:cs="Courier New" w:hint="default"/>
      </w:rPr>
    </w:lvl>
    <w:lvl w:ilvl="5" w:tplc="04100005" w:tentative="1">
      <w:start w:val="1"/>
      <w:numFmt w:val="bullet"/>
      <w:lvlText w:val=""/>
      <w:lvlJc w:val="left"/>
      <w:pPr>
        <w:ind w:left="4020" w:hanging="360"/>
      </w:pPr>
      <w:rPr>
        <w:rFonts w:ascii="Wingdings" w:hAnsi="Wingdings" w:hint="default"/>
      </w:rPr>
    </w:lvl>
    <w:lvl w:ilvl="6" w:tplc="04100001" w:tentative="1">
      <w:start w:val="1"/>
      <w:numFmt w:val="bullet"/>
      <w:lvlText w:val=""/>
      <w:lvlJc w:val="left"/>
      <w:pPr>
        <w:ind w:left="4740" w:hanging="360"/>
      </w:pPr>
      <w:rPr>
        <w:rFonts w:ascii="Symbol" w:hAnsi="Symbol" w:hint="default"/>
      </w:rPr>
    </w:lvl>
    <w:lvl w:ilvl="7" w:tplc="04100003" w:tentative="1">
      <w:start w:val="1"/>
      <w:numFmt w:val="bullet"/>
      <w:lvlText w:val="o"/>
      <w:lvlJc w:val="left"/>
      <w:pPr>
        <w:ind w:left="5460" w:hanging="360"/>
      </w:pPr>
      <w:rPr>
        <w:rFonts w:ascii="Courier New" w:hAnsi="Courier New" w:cs="Courier New" w:hint="default"/>
      </w:rPr>
    </w:lvl>
    <w:lvl w:ilvl="8" w:tplc="04100005" w:tentative="1">
      <w:start w:val="1"/>
      <w:numFmt w:val="bullet"/>
      <w:lvlText w:val=""/>
      <w:lvlJc w:val="left"/>
      <w:pPr>
        <w:ind w:left="61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gutterAtTop/>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001"/>
    <w:rsid w:val="00006D1A"/>
    <w:rsid w:val="000F7A4B"/>
    <w:rsid w:val="001776A4"/>
    <w:rsid w:val="002055E5"/>
    <w:rsid w:val="0026490E"/>
    <w:rsid w:val="00271036"/>
    <w:rsid w:val="0031142A"/>
    <w:rsid w:val="00335FAD"/>
    <w:rsid w:val="0034312B"/>
    <w:rsid w:val="0039223E"/>
    <w:rsid w:val="0039248C"/>
    <w:rsid w:val="00416967"/>
    <w:rsid w:val="00416B32"/>
    <w:rsid w:val="00430885"/>
    <w:rsid w:val="00433DCD"/>
    <w:rsid w:val="0043413B"/>
    <w:rsid w:val="00462D43"/>
    <w:rsid w:val="00491439"/>
    <w:rsid w:val="004E30C6"/>
    <w:rsid w:val="004F1397"/>
    <w:rsid w:val="004F2998"/>
    <w:rsid w:val="0050043F"/>
    <w:rsid w:val="005103EA"/>
    <w:rsid w:val="005359D1"/>
    <w:rsid w:val="00545C82"/>
    <w:rsid w:val="00547DE2"/>
    <w:rsid w:val="005A3D41"/>
    <w:rsid w:val="005B2FE8"/>
    <w:rsid w:val="005D696C"/>
    <w:rsid w:val="005E4E10"/>
    <w:rsid w:val="00621982"/>
    <w:rsid w:val="00654179"/>
    <w:rsid w:val="006B4197"/>
    <w:rsid w:val="006B5A49"/>
    <w:rsid w:val="006B5AB0"/>
    <w:rsid w:val="0082553A"/>
    <w:rsid w:val="008A7E18"/>
    <w:rsid w:val="008C4EEA"/>
    <w:rsid w:val="008E4EC0"/>
    <w:rsid w:val="00961FF6"/>
    <w:rsid w:val="009B5907"/>
    <w:rsid w:val="009D7193"/>
    <w:rsid w:val="00A07001"/>
    <w:rsid w:val="00A11A10"/>
    <w:rsid w:val="00A95048"/>
    <w:rsid w:val="00AA3BC8"/>
    <w:rsid w:val="00AD5BF7"/>
    <w:rsid w:val="00B41BF3"/>
    <w:rsid w:val="00B53D8D"/>
    <w:rsid w:val="00B71C40"/>
    <w:rsid w:val="00B90C1B"/>
    <w:rsid w:val="00BB68A4"/>
    <w:rsid w:val="00BE0392"/>
    <w:rsid w:val="00C1302C"/>
    <w:rsid w:val="00C30D4C"/>
    <w:rsid w:val="00C4036C"/>
    <w:rsid w:val="00CA0EF7"/>
    <w:rsid w:val="00CC3FA2"/>
    <w:rsid w:val="00D06EE3"/>
    <w:rsid w:val="00DD7A8E"/>
    <w:rsid w:val="00DE79AC"/>
    <w:rsid w:val="00E17AE6"/>
    <w:rsid w:val="00EA0103"/>
    <w:rsid w:val="00F22869"/>
    <w:rsid w:val="00F24BDB"/>
    <w:rsid w:val="00F53689"/>
    <w:rsid w:val="00F80AE8"/>
    <w:rsid w:val="00FC6F5C"/>
    <w:rsid w:val="00FC7BA9"/>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6436328"/>
  <w15:docId w15:val="{1ED03877-D293-45C5-BF0E-332D01C45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A07001"/>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07001"/>
    <w:rPr>
      <w:rFonts w:ascii="Tahoma" w:hAnsi="Tahoma" w:cs="Tahoma"/>
      <w:sz w:val="16"/>
      <w:szCs w:val="16"/>
    </w:rPr>
  </w:style>
  <w:style w:type="paragraph" w:styleId="Nessunaspaziatura">
    <w:name w:val="No Spacing"/>
    <w:uiPriority w:val="1"/>
    <w:qFormat/>
    <w:rsid w:val="00A07001"/>
    <w:pPr>
      <w:spacing w:after="0" w:line="240" w:lineRule="auto"/>
    </w:pPr>
  </w:style>
  <w:style w:type="character" w:styleId="Collegamentoipertestuale">
    <w:name w:val="Hyperlink"/>
    <w:basedOn w:val="Carpredefinitoparagrafo"/>
    <w:uiPriority w:val="99"/>
    <w:unhideWhenUsed/>
    <w:rsid w:val="001776A4"/>
    <w:rPr>
      <w:color w:val="0000FF" w:themeColor="hyperlink"/>
      <w:u w:val="single"/>
    </w:rPr>
  </w:style>
  <w:style w:type="paragraph" w:styleId="Intestazione">
    <w:name w:val="header"/>
    <w:basedOn w:val="Normale"/>
    <w:link w:val="IntestazioneCarattere"/>
    <w:uiPriority w:val="99"/>
    <w:unhideWhenUsed/>
    <w:rsid w:val="004F139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F1397"/>
  </w:style>
  <w:style w:type="paragraph" w:styleId="Pidipagina">
    <w:name w:val="footer"/>
    <w:basedOn w:val="Normale"/>
    <w:link w:val="PidipaginaCarattere"/>
    <w:uiPriority w:val="99"/>
    <w:unhideWhenUsed/>
    <w:rsid w:val="004F139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F1397"/>
  </w:style>
  <w:style w:type="paragraph" w:styleId="Testonotadichiusura">
    <w:name w:val="endnote text"/>
    <w:basedOn w:val="Normale"/>
    <w:link w:val="TestonotadichiusuraCarattere"/>
    <w:uiPriority w:val="99"/>
    <w:semiHidden/>
    <w:unhideWhenUsed/>
    <w:rsid w:val="008C4EEA"/>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8C4EEA"/>
    <w:rPr>
      <w:sz w:val="20"/>
      <w:szCs w:val="20"/>
    </w:rPr>
  </w:style>
  <w:style w:type="character" w:styleId="Rimandonotadichiusura">
    <w:name w:val="endnote reference"/>
    <w:basedOn w:val="Carpredefinitoparagrafo"/>
    <w:uiPriority w:val="99"/>
    <w:semiHidden/>
    <w:unhideWhenUsed/>
    <w:rsid w:val="008C4EEA"/>
    <w:rPr>
      <w:vertAlign w:val="superscript"/>
    </w:rPr>
  </w:style>
  <w:style w:type="paragraph" w:styleId="Paragrafoelenco">
    <w:name w:val="List Paragraph"/>
    <w:basedOn w:val="Normale"/>
    <w:uiPriority w:val="34"/>
    <w:qFormat/>
    <w:rsid w:val="00EA0103"/>
    <w:pPr>
      <w:spacing w:after="160" w:line="259" w:lineRule="auto"/>
      <w:ind w:left="720"/>
      <w:contextualSpacing/>
    </w:pPr>
  </w:style>
  <w:style w:type="character" w:customStyle="1" w:styleId="Menzionenonrisolta1">
    <w:name w:val="Menzione non risolta1"/>
    <w:basedOn w:val="Carpredefinitoparagrafo"/>
    <w:uiPriority w:val="99"/>
    <w:semiHidden/>
    <w:unhideWhenUsed/>
    <w:rsid w:val="005D696C"/>
    <w:rPr>
      <w:color w:val="605E5C"/>
      <w:shd w:val="clear" w:color="auto" w:fill="E1DFDD"/>
    </w:rPr>
  </w:style>
  <w:style w:type="paragraph" w:customStyle="1" w:styleId="Normal">
    <w:name w:val="[Normal]"/>
    <w:rsid w:val="00CA0EF7"/>
    <w:pPr>
      <w:widowControl w:val="0"/>
      <w:suppressAutoHyphens/>
      <w:autoSpaceDE w:val="0"/>
      <w:autoSpaceDN w:val="0"/>
      <w:spacing w:after="0" w:line="240" w:lineRule="auto"/>
      <w:textAlignment w:val="baseline"/>
    </w:pPr>
    <w:rPr>
      <w:rFonts w:ascii="Arial" w:eastAsia="Times New Roman" w:hAnsi="Arial" w:cs="Arial"/>
      <w:sz w:val="24"/>
      <w:szCs w:val="24"/>
      <w:lang w:eastAsia="it-IT"/>
    </w:rPr>
  </w:style>
  <w:style w:type="paragraph" w:styleId="Testonotaapidipagina">
    <w:name w:val="footnote text"/>
    <w:basedOn w:val="Normale"/>
    <w:link w:val="TestonotaapidipaginaCarattere"/>
    <w:semiHidden/>
    <w:rsid w:val="00547DE2"/>
    <w:pPr>
      <w:spacing w:after="0" w:line="240" w:lineRule="auto"/>
    </w:pPr>
    <w:rPr>
      <w:rFonts w:ascii="Times New Roman" w:eastAsia="Times New Roman" w:hAnsi="Times New Roman" w:cs="Times New Roman"/>
      <w:sz w:val="24"/>
      <w:szCs w:val="20"/>
      <w:lang w:eastAsia="it-IT"/>
    </w:rPr>
  </w:style>
  <w:style w:type="character" w:customStyle="1" w:styleId="TestonotaapidipaginaCarattere">
    <w:name w:val="Testo nota a piè di pagina Carattere"/>
    <w:basedOn w:val="Carpredefinitoparagrafo"/>
    <w:link w:val="Testonotaapidipagina"/>
    <w:semiHidden/>
    <w:rsid w:val="00547DE2"/>
    <w:rPr>
      <w:rFonts w:ascii="Times New Roman" w:eastAsia="Times New Roman" w:hAnsi="Times New Roman" w:cs="Times New Roman"/>
      <w:sz w:val="24"/>
      <w:szCs w:val="20"/>
      <w:lang w:eastAsia="it-IT"/>
    </w:rPr>
  </w:style>
  <w:style w:type="paragraph" w:styleId="Didascalia">
    <w:name w:val="caption"/>
    <w:basedOn w:val="Normale"/>
    <w:next w:val="Normale"/>
    <w:qFormat/>
    <w:rsid w:val="00547DE2"/>
    <w:pPr>
      <w:spacing w:after="0" w:line="240" w:lineRule="auto"/>
      <w:jc w:val="center"/>
    </w:pPr>
    <w:rPr>
      <w:rFonts w:ascii="Times New Roman" w:eastAsia="Times New Roman" w:hAnsi="Times New Roman" w:cs="Times New Roman"/>
      <w:sz w:val="48"/>
      <w:szCs w:val="20"/>
      <w:lang w:eastAsia="it-IT"/>
    </w:rPr>
  </w:style>
  <w:style w:type="paragraph" w:styleId="Corpodeltesto3">
    <w:name w:val="Body Text 3"/>
    <w:basedOn w:val="Normale"/>
    <w:link w:val="Corpodeltesto3Carattere"/>
    <w:rsid w:val="00547DE2"/>
    <w:pPr>
      <w:spacing w:after="0" w:line="240" w:lineRule="auto"/>
      <w:jc w:val="both"/>
    </w:pPr>
    <w:rPr>
      <w:rFonts w:ascii="Times New Roman" w:eastAsia="Times New Roman" w:hAnsi="Times New Roman" w:cs="Times New Roman"/>
      <w:sz w:val="28"/>
      <w:szCs w:val="20"/>
      <w:lang w:eastAsia="it-IT"/>
    </w:rPr>
  </w:style>
  <w:style w:type="character" w:customStyle="1" w:styleId="Corpodeltesto3Carattere">
    <w:name w:val="Corpo del testo 3 Carattere"/>
    <w:basedOn w:val="Carpredefinitoparagrafo"/>
    <w:link w:val="Corpodeltesto3"/>
    <w:rsid w:val="00547DE2"/>
    <w:rPr>
      <w:rFonts w:ascii="Times New Roman" w:eastAsia="Times New Roman" w:hAnsi="Times New Roman" w:cs="Times New Roman"/>
      <w:sz w:val="28"/>
      <w:szCs w:val="20"/>
      <w:lang w:eastAsia="it-IT"/>
    </w:rPr>
  </w:style>
  <w:style w:type="paragraph" w:styleId="Corpotesto">
    <w:name w:val="Body Text"/>
    <w:basedOn w:val="Normale"/>
    <w:link w:val="CorpotestoCarattere"/>
    <w:rsid w:val="00547DE2"/>
    <w:pPr>
      <w:spacing w:after="0" w:line="240" w:lineRule="auto"/>
    </w:pPr>
    <w:rPr>
      <w:rFonts w:ascii="Times New Roman" w:eastAsia="Times New Roman" w:hAnsi="Times New Roman" w:cs="Times New Roman"/>
      <w:sz w:val="24"/>
      <w:szCs w:val="20"/>
      <w:lang w:eastAsia="it-IT"/>
    </w:rPr>
  </w:style>
  <w:style w:type="character" w:customStyle="1" w:styleId="CorpotestoCarattere">
    <w:name w:val="Corpo testo Carattere"/>
    <w:basedOn w:val="Carpredefinitoparagrafo"/>
    <w:link w:val="Corpotesto"/>
    <w:rsid w:val="00547DE2"/>
    <w:rPr>
      <w:rFonts w:ascii="Times New Roman" w:eastAsia="Times New Roman" w:hAnsi="Times New Roman" w:cs="Times New Roman"/>
      <w:sz w:val="24"/>
      <w:szCs w:val="20"/>
      <w:lang w:eastAsia="it-IT"/>
    </w:rPr>
  </w:style>
  <w:style w:type="paragraph" w:styleId="Rientrocorpodeltesto2">
    <w:name w:val="Body Text Indent 2"/>
    <w:basedOn w:val="Normale"/>
    <w:link w:val="Rientrocorpodeltesto2Carattere"/>
    <w:rsid w:val="00547DE2"/>
    <w:pPr>
      <w:tabs>
        <w:tab w:val="left" w:pos="5670"/>
      </w:tabs>
      <w:spacing w:after="0" w:line="240" w:lineRule="auto"/>
      <w:ind w:left="709"/>
      <w:jc w:val="both"/>
    </w:pPr>
    <w:rPr>
      <w:rFonts w:ascii="Arial" w:eastAsia="Times New Roman" w:hAnsi="Arial" w:cs="Times New Roman"/>
      <w:sz w:val="24"/>
      <w:szCs w:val="20"/>
      <w:lang w:eastAsia="it-IT"/>
    </w:rPr>
  </w:style>
  <w:style w:type="character" w:customStyle="1" w:styleId="Rientrocorpodeltesto2Carattere">
    <w:name w:val="Rientro corpo del testo 2 Carattere"/>
    <w:basedOn w:val="Carpredefinitoparagrafo"/>
    <w:link w:val="Rientrocorpodeltesto2"/>
    <w:rsid w:val="00547DE2"/>
    <w:rPr>
      <w:rFonts w:ascii="Arial" w:eastAsia="Times New Roman" w:hAnsi="Arial" w:cs="Times New Roman"/>
      <w:sz w:val="24"/>
      <w:szCs w:val="20"/>
      <w:lang w:eastAsia="it-IT"/>
    </w:rPr>
  </w:style>
  <w:style w:type="character" w:styleId="Enfasigrassetto">
    <w:name w:val="Strong"/>
    <w:basedOn w:val="Carpredefinitoparagrafo"/>
    <w:qFormat/>
    <w:rsid w:val="00547DE2"/>
    <w:rPr>
      <w:b/>
      <w:bCs/>
    </w:rPr>
  </w:style>
  <w:style w:type="character" w:styleId="Enfasicorsivo">
    <w:name w:val="Emphasis"/>
    <w:basedOn w:val="Carpredefinitoparagrafo"/>
    <w:qFormat/>
    <w:rsid w:val="00547DE2"/>
    <w:rPr>
      <w:i/>
      <w:iCs/>
    </w:rPr>
  </w:style>
  <w:style w:type="paragraph" w:styleId="NormaleWeb">
    <w:name w:val="Normal (Web)"/>
    <w:basedOn w:val="Normale"/>
    <w:uiPriority w:val="99"/>
    <w:semiHidden/>
    <w:unhideWhenUsed/>
    <w:rsid w:val="00961FF6"/>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xlinkarticolo">
    <w:name w:val="x_linkarticolo"/>
    <w:basedOn w:val="Carpredefinitoparagrafo"/>
    <w:rsid w:val="00961F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6666851">
      <w:bodyDiv w:val="1"/>
      <w:marLeft w:val="0"/>
      <w:marRight w:val="0"/>
      <w:marTop w:val="0"/>
      <w:marBottom w:val="0"/>
      <w:divBdr>
        <w:top w:val="none" w:sz="0" w:space="0" w:color="auto"/>
        <w:left w:val="none" w:sz="0" w:space="0" w:color="auto"/>
        <w:bottom w:val="none" w:sz="0" w:space="0" w:color="auto"/>
        <w:right w:val="none" w:sz="0" w:space="0" w:color="auto"/>
      </w:divBdr>
    </w:div>
    <w:div w:id="1110588034">
      <w:bodyDiv w:val="1"/>
      <w:marLeft w:val="0"/>
      <w:marRight w:val="0"/>
      <w:marTop w:val="0"/>
      <w:marBottom w:val="0"/>
      <w:divBdr>
        <w:top w:val="none" w:sz="0" w:space="0" w:color="auto"/>
        <w:left w:val="none" w:sz="0" w:space="0" w:color="auto"/>
        <w:bottom w:val="none" w:sz="0" w:space="0" w:color="auto"/>
        <w:right w:val="none" w:sz="0" w:space="0" w:color="auto"/>
      </w:divBdr>
    </w:div>
    <w:div w:id="1118374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utekne.it/Servizi/BancaDati/Testo.aspx?ID=357410&amp;IDSrc=100" TargetMode="External"/><Relationship Id="rId13" Type="http://schemas.openxmlformats.org/officeDocument/2006/relationships/hyperlink" Target="https://www.eutekne.it/Servizi/RassegnaLeggi/Recensione_Articolo.aspx?IDLegge=2708&amp;IDArticolo=39741&amp;IDSrc=100"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eutekne.it/Servizi/RassegnaLeggi/Recensione_Articolo.aspx?IDLegge=2708&amp;IDArticolo=39740&amp;IDSrc=100"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eutekne.it/Servizi/RassegnaLeggi/Recensione_Articolo.aspx?IdLegge=20045&amp;IdArticolo=525953&amp;Codice_Materia=&amp;testo=&amp;ReLink=Y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utekne.it/Servizi/RassegnaLeggi/Recensione_Articolo.aspx?IDLegge=2708&amp;IDArticolo=39858&amp;IDSrc=100" TargetMode="External"/><Relationship Id="rId5" Type="http://schemas.openxmlformats.org/officeDocument/2006/relationships/webSettings" Target="webSettings.xml"/><Relationship Id="rId15" Type="http://schemas.openxmlformats.org/officeDocument/2006/relationships/hyperlink" Target="https://www.eutekne.it/Servizi/RassegnaLeggi/Recensione_Articolo.aspx?IdLegge=2708&amp;IdArticolo=39862&amp;Codice_Materia=&amp;testo=&amp;ReLink=Yes" TargetMode="External"/><Relationship Id="rId10" Type="http://schemas.openxmlformats.org/officeDocument/2006/relationships/hyperlink" Target="https://www.eutekne.it/Servizi/RassegnaLeggi/Recensione_Articolo.aspx?IDLegge=15880&amp;IDArticolo=410649&amp;IDSrc=100"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eutekne.it/Servizi/RassegnaLeggi/Recensione_Articolo.aspx?IDLegge=9&amp;IDArticolo=36142&amp;IDSrc=100" TargetMode="External"/><Relationship Id="rId14" Type="http://schemas.openxmlformats.org/officeDocument/2006/relationships/hyperlink" Target="https://www.eutekne.it/Servizi/BancaDati/Testo.aspx?IDRec=84156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513143-D474-4A24-BC17-FECD4F5A07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570</Words>
  <Characters>3253</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3</cp:revision>
  <cp:lastPrinted>2020-04-24T14:00:00Z</cp:lastPrinted>
  <dcterms:created xsi:type="dcterms:W3CDTF">2021-06-29T13:33:00Z</dcterms:created>
  <dcterms:modified xsi:type="dcterms:W3CDTF">2021-06-29T13:37:00Z</dcterms:modified>
</cp:coreProperties>
</file>